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附件一：报名初审材料要求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报名所需初审材料：有效的产品注册证、厂家对投标供应商授权、厂家资质、投标供应商资质。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审核初审材料时若发现准投标人未按医院要求提供，不允许参加投标。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before="0" w:beforeLines="0" w:after="0" w:afterLines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lang w:val="en-US" w:eastAsia="zh-CN"/>
        </w:rPr>
        <w:t>审核通过的进行登记确认。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44D5"/>
    <w:multiLevelType w:val="singleLevel"/>
    <w:tmpl w:val="58C744D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84B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2017-03-14T23:57:15Z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